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57B7" w:rsidRDefault="001D47A9">
      <w:pPr>
        <w:rPr>
          <w:rFonts w:ascii="Times New Roman" w:hAnsi="Times New Roman" w:cs="Times New Roman"/>
          <w:sz w:val="24"/>
        </w:rPr>
      </w:pPr>
      <w:r>
        <w:rPr>
          <w:rFonts w:ascii="Times New Roman" w:hAnsi="Times New Roman" w:cs="Times New Roman"/>
          <w:sz w:val="24"/>
        </w:rPr>
        <w:t>Hadley Colman</w:t>
      </w:r>
    </w:p>
    <w:p w:rsidR="001D47A9" w:rsidRDefault="001D47A9">
      <w:pPr>
        <w:rPr>
          <w:rFonts w:ascii="Times New Roman" w:hAnsi="Times New Roman" w:cs="Times New Roman"/>
          <w:sz w:val="24"/>
        </w:rPr>
      </w:pPr>
      <w:r>
        <w:rPr>
          <w:rFonts w:ascii="Times New Roman" w:hAnsi="Times New Roman" w:cs="Times New Roman"/>
          <w:sz w:val="24"/>
        </w:rPr>
        <w:t>EDC 102</w:t>
      </w:r>
    </w:p>
    <w:p w:rsidR="001D47A9" w:rsidRDefault="001D47A9">
      <w:pPr>
        <w:rPr>
          <w:rFonts w:ascii="Times New Roman" w:hAnsi="Times New Roman" w:cs="Times New Roman"/>
          <w:sz w:val="24"/>
        </w:rPr>
      </w:pPr>
      <w:r>
        <w:rPr>
          <w:rFonts w:ascii="Times New Roman" w:hAnsi="Times New Roman" w:cs="Times New Roman"/>
          <w:sz w:val="24"/>
        </w:rPr>
        <w:t>October 12, 2015</w:t>
      </w:r>
    </w:p>
    <w:p w:rsidR="001D47A9" w:rsidRDefault="001D47A9">
      <w:pPr>
        <w:rPr>
          <w:rFonts w:ascii="Times New Roman" w:hAnsi="Times New Roman" w:cs="Times New Roman"/>
          <w:sz w:val="24"/>
        </w:rPr>
      </w:pPr>
      <w:r>
        <w:rPr>
          <w:rFonts w:ascii="Times New Roman" w:hAnsi="Times New Roman" w:cs="Times New Roman"/>
          <w:sz w:val="24"/>
        </w:rPr>
        <w:t>FAE Chapter 4 Reflection</w:t>
      </w:r>
    </w:p>
    <w:p w:rsidR="001D47A9" w:rsidRDefault="001D47A9">
      <w:pPr>
        <w:rPr>
          <w:rFonts w:ascii="Times New Roman" w:hAnsi="Times New Roman" w:cs="Times New Roman"/>
          <w:sz w:val="24"/>
        </w:rPr>
      </w:pPr>
    </w:p>
    <w:p w:rsidR="001D47A9" w:rsidRPr="00434D94" w:rsidRDefault="001D47A9" w:rsidP="00434D94">
      <w:pPr>
        <w:spacing w:line="480" w:lineRule="auto"/>
        <w:rPr>
          <w:rFonts w:ascii="Times New Roman" w:hAnsi="Times New Roman" w:cs="Times New Roman"/>
          <w:sz w:val="24"/>
        </w:rPr>
      </w:pPr>
      <w:r>
        <w:rPr>
          <w:rFonts w:ascii="Times New Roman" w:hAnsi="Times New Roman" w:cs="Times New Roman"/>
          <w:sz w:val="24"/>
        </w:rPr>
        <w:tab/>
        <w:t xml:space="preserve">After reading Chapter 4 in </w:t>
      </w:r>
      <w:r w:rsidR="00434D94">
        <w:rPr>
          <w:rFonts w:ascii="Times New Roman" w:hAnsi="Times New Roman" w:cs="Times New Roman"/>
          <w:i/>
          <w:sz w:val="24"/>
        </w:rPr>
        <w:t>Foundation, American Education</w:t>
      </w:r>
      <w:r w:rsidR="00434D94">
        <w:rPr>
          <w:rFonts w:ascii="Times New Roman" w:hAnsi="Times New Roman" w:cs="Times New Roman"/>
          <w:sz w:val="24"/>
        </w:rPr>
        <w:t xml:space="preserve">, I found one passage particularly interesting. I thought that the Native American Ways of Knowing section was very interesting and I enjoyed reading about the different focuses of different nations and cultures within Native American communities. For example, the Navajo nation focuses on harmony and inner forms, the Lakota focus on oneness with the environment, and the Hopi focus on a journey (Johnson et al., p. 99). I really like how the Native American communities are closely tied with wellbeing/ the inner “soul” and nature. This makes me realize that as a teacher, there are so many different beliefs depending on different cultures and teachers need to be sensitive to that and try their best not to push their personal beliefs on students. Today, many Native American children attend schools on reservations and are taught differently than if they attended a public school off of a reservation. But sometimes teachers are needed from outside the reservation and these teachers need to be educated in the beliefs of the community in order to provide the children with the best education that their families want them to have. </w:t>
      </w:r>
      <w:bookmarkStart w:id="0" w:name="_GoBack"/>
      <w:bookmarkEnd w:id="0"/>
    </w:p>
    <w:sectPr w:rsidR="001D47A9" w:rsidRPr="00434D9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2BD6"/>
    <w:rsid w:val="001D47A9"/>
    <w:rsid w:val="002057B7"/>
    <w:rsid w:val="00434D94"/>
    <w:rsid w:val="00B32B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188</Words>
  <Characters>1073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Quinnipiac University</Company>
  <LinksUpToDate>false</LinksUpToDate>
  <CharactersWithSpaces>1259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Hadley</dc:creator>
  <cp:lastModifiedBy>Hadley</cp:lastModifiedBy>
  <cp:revision>3</cp:revision>
  <dcterms:created xsi:type="dcterms:W3CDTF">2015-10-12T16:43:00Z</dcterms:created>
  <dcterms:modified xsi:type="dcterms:W3CDTF">2015-10-12T17:01:00Z</dcterms:modified>
</cp:coreProperties>
</file>